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112</w:t>
      </w:r>
    </w:p>
    <w:p>
      <w:r>
        <w:t>Bundesgericht (BGE), 1985-07-05, DE</w:t>
      </w:r>
    </w:p>
    <w:p>
      <w:r>
        <w:rPr>
          <w:b/>
        </w:rPr>
        <w:t xml:space="preserve">Quelle: </w:t>
      </w:r>
      <w:r>
        <w:t>https://mcp.opencaselaw.ch/entscheid/bge_111 IV 112</w:t>
      </w:r>
    </w:p>
    <w:p>
      <w:r>
        <w:t>FR: ATF 111 IV 112</w:t>
      </w:r>
    </w:p>
    <w:p>
      <w:r>
        <w:t>IT: DTF 111 IV 112</w:t>
      </w:r>
    </w:p>
    <w:p>
      <w:pPr>
        <w:pStyle w:val="Heading2"/>
      </w:pPr>
      <w:r>
        <w:t>Regeste</w:t>
      </w:r>
    </w:p>
    <w:p>
      <w:r>
        <w:t>Regeste Art. 270 Abs. 1 BStP. Die Statthalterämter des Kantons Zürich können nicht neben der Staatsanwaltschaft eidgenössische Nichtigkeitsbeschwerde führen.</w:t>
      </w:r>
    </w:p>
    <w:p>
      <w:pPr>
        <w:pStyle w:val="Heading2"/>
      </w:pPr>
      <w:r>
        <w:t>Erwägungen</w:t>
      </w:r>
    </w:p>
    <w:p>
      <w:r>
        <w:rPr>
          <w:b/>
        </w:rPr>
        <w:t>E. 1</w:t>
      </w:r>
    </w:p>
    <w:p>
      <w:r>
        <w:t>Mit Urteil vom 5. Juli 1985 sprach der Einzelrichter in Strafsachen des Bezirkes Zürich Frau F. vom Vorwurf der Übertretung des Art. 210 StGB frei. Dieser Entscheid wurde durch die I. Strafkammer des Obergerichts des Kantons Zürich am 11. Januar 1985 bestätigt. Mit heutigem Datum wies der Kassationshof eine dagegen durch die Staatsanwaltschaft des Kantons Zürich eingereichte eidgenössische Nichtigkeitsbeschwerde ab. Dasselbe Rechtsmittel gegen den angefochtenen Freispruch wurde beim Bundesgericht auch durch das Statthalteramt des Bezirkes Zürich erhoben.</w:t>
      </w:r>
    </w:p>
    <w:p>
      <w:r>
        <w:rPr>
          <w:b/>
        </w:rPr>
        <w:t>E. 2</w:t>
      </w:r>
    </w:p>
    <w:p>
      <w:r>
        <w:t>Gemäss Art. 270 Abs. 1 BStP ist der Ankläger des Kantons zur eidgenössischen Nichtigkeitsbeschwerde legitimiert. Nach der Praxis des Bundesgerichtes, zu deren Überprüfung heute kein Anlass besteht, werden Beschwerden von Zürcher Statthalterämtern dann zugelassen, wenn diese gewissermassen an Stelle der Staatsanwaltschaft in der Funktion des Anklägers auftreten. Ohne jeden Zweifel unzulässig ist es jedoch, dass ein Statthalteramt neben der Staatsanwaltschaft Beschwerde führt. Daran ändert nichts, dass im zürcherischen Strafverfahren nach § 395 Ziff. 1 StPO /ZH in Übertretungssachen nebst der Staatsanwaltschaft auch die Verwaltungsbehörde, die den vorinstanzlichen Entscheid gefällt hat, zur Ergreifung von Rechtsmitteln befugt ist. Auf die Beschwerde des Statthalteramtes des Bezirkes Zürich ist mithin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